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52C5" w14:textId="77777777" w:rsidR="00E16B44" w:rsidRPr="000C0A7F" w:rsidRDefault="00E16B44" w:rsidP="00E16B44">
      <w:pPr>
        <w:pStyle w:val="Header"/>
        <w:spacing w:after="60"/>
        <w:rPr>
          <w:rFonts w:ascii="Segoe UI" w:hAnsi="Segoe UI" w:cs="Segoe UI"/>
          <w:b/>
          <w:color w:val="008FFF"/>
          <w:sz w:val="44"/>
          <w:szCs w:val="44"/>
        </w:rPr>
      </w:pPr>
    </w:p>
    <w:p w14:paraId="75742595" w14:textId="77777777" w:rsidR="00E16B44" w:rsidRDefault="00E16B44" w:rsidP="00E16B44">
      <w:pPr>
        <w:pStyle w:val="Header"/>
        <w:spacing w:after="60"/>
        <w:rPr>
          <w:rFonts w:ascii="Segoe UI" w:hAnsi="Segoe UI" w:cs="Segoe UI"/>
          <w:b/>
          <w:color w:val="008FFF"/>
          <w:sz w:val="44"/>
          <w:szCs w:val="44"/>
        </w:rPr>
      </w:pPr>
    </w:p>
    <w:p w14:paraId="03D2B30D" w14:textId="77777777" w:rsidR="00E16B44" w:rsidRPr="000C0A7F" w:rsidRDefault="00E16B44" w:rsidP="00E16B44">
      <w:pPr>
        <w:pStyle w:val="Header"/>
        <w:spacing w:after="60"/>
        <w:rPr>
          <w:rFonts w:ascii="Segoe UI" w:hAnsi="Segoe UI" w:cs="Segoe UI"/>
          <w:b/>
          <w:color w:val="008FFF"/>
          <w:sz w:val="44"/>
          <w:szCs w:val="44"/>
        </w:rPr>
      </w:pPr>
      <w:bookmarkStart w:id="0" w:name="_Hlk171354321"/>
    </w:p>
    <w:p w14:paraId="452BBF2E" w14:textId="77777777" w:rsidR="00E16B44" w:rsidRPr="000C0A7F" w:rsidRDefault="00E16B44" w:rsidP="00E16B44">
      <w:pPr>
        <w:pStyle w:val="Header"/>
        <w:spacing w:after="60"/>
        <w:jc w:val="center"/>
        <w:rPr>
          <w:rFonts w:ascii="Segoe UI" w:hAnsi="Segoe UI" w:cs="Segoe UI"/>
          <w:b/>
          <w:color w:val="008FFF"/>
          <w:sz w:val="44"/>
          <w:szCs w:val="44"/>
        </w:rPr>
      </w:pPr>
      <w:r w:rsidRPr="000C0A7F">
        <w:rPr>
          <w:rFonts w:ascii="Segoe UI" w:hAnsi="Segoe UI" w:cs="Segoe UI"/>
          <w:b/>
          <w:noProof/>
          <w:color w:val="008FFF"/>
          <w:sz w:val="44"/>
          <w:szCs w:val="44"/>
        </w:rPr>
        <w:drawing>
          <wp:inline distT="0" distB="0" distL="0" distR="0" wp14:anchorId="23B5EE11" wp14:editId="0CA0ECCD">
            <wp:extent cx="2384239" cy="3486744"/>
            <wp:effectExtent l="0" t="0" r="3810" b="0"/>
            <wp:docPr id="1369526660" name="Picture 1" descr="A logo of hands holding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526660" name="Picture 1" descr="A logo of hands holding a tre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009" cy="352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23029" w14:textId="77777777" w:rsidR="00E16B44" w:rsidRPr="000C0A7F" w:rsidRDefault="00E16B44" w:rsidP="00E16B44">
      <w:pPr>
        <w:pStyle w:val="Header"/>
        <w:spacing w:after="60"/>
        <w:rPr>
          <w:rFonts w:ascii="Segoe UI" w:hAnsi="Segoe UI" w:cs="Segoe UI"/>
          <w:b/>
          <w:color w:val="008FFF"/>
          <w:sz w:val="40"/>
          <w:szCs w:val="40"/>
        </w:rPr>
      </w:pPr>
    </w:p>
    <w:p w14:paraId="7E0E76AC" w14:textId="744478C0" w:rsidR="00E16B44" w:rsidRPr="00F047E7" w:rsidRDefault="00E16B44" w:rsidP="00E16B44">
      <w:pPr>
        <w:pStyle w:val="Header"/>
        <w:spacing w:after="60"/>
        <w:jc w:val="center"/>
        <w:rPr>
          <w:rFonts w:ascii="Segoe UI" w:hAnsi="Segoe UI" w:cs="Segoe UI"/>
          <w:b/>
          <w:color w:val="1F5FAD"/>
          <w:sz w:val="44"/>
          <w:szCs w:val="44"/>
        </w:rPr>
      </w:pPr>
      <w:r>
        <w:rPr>
          <w:rFonts w:ascii="Segoe UI" w:hAnsi="Segoe UI" w:cs="Segoe UI"/>
          <w:b/>
          <w:color w:val="1F5FAD"/>
          <w:sz w:val="44"/>
          <w:szCs w:val="44"/>
        </w:rPr>
        <w:t>Health &amp; Safety</w:t>
      </w:r>
    </w:p>
    <w:p w14:paraId="0BEBA644" w14:textId="7CBBA85C" w:rsidR="00E16B44" w:rsidRDefault="00E16B44" w:rsidP="00E16B44">
      <w:pPr>
        <w:ind w:left="0" w:firstLine="0"/>
        <w:jc w:val="center"/>
        <w:rPr>
          <w:rFonts w:ascii="Segoe UI" w:hAnsi="Segoe UI" w:cs="Segoe UI"/>
          <w:b/>
          <w:sz w:val="44"/>
          <w:szCs w:val="44"/>
        </w:rPr>
      </w:pPr>
      <w:r w:rsidRPr="00F047E7">
        <w:rPr>
          <w:rFonts w:ascii="Segoe UI" w:hAnsi="Segoe UI" w:cs="Segoe UI"/>
          <w:b/>
          <w:sz w:val="44"/>
          <w:szCs w:val="44"/>
        </w:rPr>
        <w:t>Procedure</w:t>
      </w:r>
      <w:r>
        <w:rPr>
          <w:rFonts w:ascii="Segoe UI" w:hAnsi="Segoe UI" w:cs="Segoe UI"/>
          <w:b/>
          <w:sz w:val="44"/>
          <w:szCs w:val="44"/>
        </w:rPr>
        <w:t>s</w:t>
      </w:r>
    </w:p>
    <w:p w14:paraId="6A5622E4" w14:textId="77777777" w:rsidR="00E16B44" w:rsidRDefault="00E16B44" w:rsidP="00E16B44">
      <w:pPr>
        <w:ind w:left="0" w:firstLine="0"/>
        <w:jc w:val="center"/>
        <w:rPr>
          <w:rFonts w:ascii="Segoe UI" w:hAnsi="Segoe UI" w:cs="Segoe UI"/>
          <w:b/>
          <w:color w:val="646BA1"/>
          <w:sz w:val="36"/>
          <w:szCs w:val="36"/>
        </w:rPr>
      </w:pPr>
    </w:p>
    <w:p w14:paraId="4F0A02F7" w14:textId="77777777" w:rsidR="00D64B72" w:rsidRDefault="00D64B72" w:rsidP="00D64B72">
      <w:pPr>
        <w:ind w:left="0" w:firstLine="0"/>
        <w:jc w:val="center"/>
        <w:rPr>
          <w:rFonts w:ascii="Segoe UI" w:hAnsi="Segoe UI" w:cs="Segoe UI"/>
          <w:b/>
          <w:color w:val="646BA1"/>
          <w:sz w:val="36"/>
          <w:szCs w:val="36"/>
        </w:rPr>
      </w:pPr>
    </w:p>
    <w:tbl>
      <w:tblPr>
        <w:tblStyle w:val="TableGrid"/>
        <w:tblW w:w="8526" w:type="dxa"/>
        <w:tblInd w:w="-5" w:type="dxa"/>
        <w:tblCellMar>
          <w:top w:w="98" w:type="dxa"/>
          <w:left w:w="96" w:type="dxa"/>
          <w:right w:w="44" w:type="dxa"/>
        </w:tblCellMar>
        <w:tblLook w:val="04A0" w:firstRow="1" w:lastRow="0" w:firstColumn="1" w:lastColumn="0" w:noHBand="0" w:noVBand="1"/>
      </w:tblPr>
      <w:tblGrid>
        <w:gridCol w:w="2835"/>
        <w:gridCol w:w="5691"/>
      </w:tblGrid>
      <w:tr w:rsidR="00D64B72" w14:paraId="5ABC4DC1" w14:textId="77777777" w:rsidTr="00B03A87">
        <w:trPr>
          <w:trHeight w:val="50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CFDFD4" w14:textId="1D312A2F" w:rsidR="00D64B72" w:rsidRDefault="00D64B72" w:rsidP="00B03A87">
            <w:pPr>
              <w:spacing w:line="259" w:lineRule="auto"/>
              <w:ind w:left="0" w:firstLine="0"/>
            </w:pPr>
            <w:r>
              <w:t>P</w:t>
            </w:r>
            <w:r w:rsidR="00C9744B">
              <w:t>rocedure</w:t>
            </w:r>
            <w:r>
              <w:t xml:space="preserve"> Updated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877B" w14:textId="77777777" w:rsidR="00D64B72" w:rsidRDefault="00D64B72" w:rsidP="00B03A87">
            <w:pPr>
              <w:spacing w:line="259" w:lineRule="auto"/>
              <w:ind w:left="17" w:firstLine="0"/>
            </w:pPr>
            <w:r w:rsidRPr="008849C3">
              <w:t xml:space="preserve">June 2024 </w:t>
            </w:r>
          </w:p>
        </w:tc>
      </w:tr>
      <w:tr w:rsidR="00D64B72" w14:paraId="1D0A6A0A" w14:textId="77777777" w:rsidTr="00B03A87">
        <w:trPr>
          <w:trHeight w:val="50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FFCE51" w14:textId="77777777" w:rsidR="00D64B72" w:rsidRDefault="00D64B72" w:rsidP="00B03A87">
            <w:pPr>
              <w:spacing w:line="259" w:lineRule="auto"/>
              <w:ind w:left="0" w:firstLine="0"/>
            </w:pPr>
            <w:r>
              <w:t xml:space="preserve">Next review: 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AADCC" w14:textId="77777777" w:rsidR="00D64B72" w:rsidRDefault="00D64B72" w:rsidP="00B03A87">
            <w:pPr>
              <w:spacing w:line="259" w:lineRule="auto"/>
              <w:ind w:left="17" w:firstLine="0"/>
            </w:pPr>
            <w:r w:rsidRPr="008849C3">
              <w:t>June 2026</w:t>
            </w:r>
          </w:p>
        </w:tc>
      </w:tr>
    </w:tbl>
    <w:p w14:paraId="3392CFEF" w14:textId="77777777" w:rsidR="00D64B72" w:rsidRDefault="00D64B72" w:rsidP="00D64B72">
      <w:pPr>
        <w:spacing w:line="259" w:lineRule="auto"/>
        <w:ind w:left="0" w:firstLine="0"/>
      </w:pPr>
    </w:p>
    <w:bookmarkEnd w:id="0"/>
    <w:p w14:paraId="6AC18FDF" w14:textId="5C7D53F0" w:rsidR="009C008A" w:rsidRDefault="009C008A">
      <w:pPr>
        <w:spacing w:line="259" w:lineRule="auto"/>
        <w:ind w:left="720" w:firstLine="0"/>
      </w:pPr>
    </w:p>
    <w:p w14:paraId="1EB9505B" w14:textId="77777777" w:rsidR="009C008A" w:rsidRDefault="008B6700">
      <w:pPr>
        <w:spacing w:line="259" w:lineRule="auto"/>
        <w:ind w:left="720" w:firstLine="0"/>
      </w:pPr>
      <w:r>
        <w:rPr>
          <w:b/>
        </w:rPr>
        <w:t xml:space="preserve"> </w:t>
      </w:r>
    </w:p>
    <w:p w14:paraId="0B5478F0" w14:textId="77777777" w:rsidR="009C008A" w:rsidRPr="008B6700" w:rsidRDefault="008B6700" w:rsidP="008B6700">
      <w:pPr>
        <w:spacing w:after="160" w:line="259" w:lineRule="auto"/>
        <w:ind w:left="0" w:firstLine="0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  </w:t>
      </w:r>
    </w:p>
    <w:p w14:paraId="42B03A59" w14:textId="77777777" w:rsidR="009C008A" w:rsidRDefault="008B6700">
      <w:pPr>
        <w:numPr>
          <w:ilvl w:val="0"/>
          <w:numId w:val="1"/>
        </w:numPr>
        <w:spacing w:after="21" w:line="259" w:lineRule="auto"/>
        <w:ind w:hanging="269"/>
      </w:pPr>
      <w:r>
        <w:rPr>
          <w:b/>
        </w:rPr>
        <w:t xml:space="preserve">Aims &amp; Principles </w:t>
      </w:r>
    </w:p>
    <w:p w14:paraId="7DBB33C8" w14:textId="18CF0DCD" w:rsidR="009C008A" w:rsidRDefault="008B6700">
      <w:pPr>
        <w:ind w:left="-5" w:right="108"/>
      </w:pPr>
      <w:r>
        <w:t xml:space="preserve">To </w:t>
      </w:r>
      <w:r w:rsidR="00C9744B">
        <w:t xml:space="preserve">ensure that </w:t>
      </w:r>
      <w:r>
        <w:t>safe and healthy working conditions</w:t>
      </w:r>
      <w:r w:rsidR="00C9744B">
        <w:t xml:space="preserve"> are provided and maintained</w:t>
      </w:r>
      <w:r>
        <w:t>, equipment and systems of work for all staff, pupils and visitors</w:t>
      </w:r>
      <w:r w:rsidR="00C9744B">
        <w:t xml:space="preserve">. This is done through communication with the Tavistock and Portman NHS Trust estates and Health &amp; Safety Department. </w:t>
      </w:r>
      <w:r>
        <w:t xml:space="preserve"> </w:t>
      </w:r>
    </w:p>
    <w:p w14:paraId="11BE7C7D" w14:textId="77777777" w:rsidR="009C008A" w:rsidRDefault="008B6700">
      <w:pPr>
        <w:spacing w:line="259" w:lineRule="auto"/>
        <w:ind w:left="0" w:firstLine="0"/>
      </w:pPr>
      <w:r>
        <w:t xml:space="preserve"> </w:t>
      </w:r>
    </w:p>
    <w:p w14:paraId="53BA926A" w14:textId="0D9FBF61" w:rsidR="009C008A" w:rsidRDefault="008B6700">
      <w:pPr>
        <w:ind w:left="-5" w:right="108"/>
      </w:pPr>
      <w:r>
        <w:t xml:space="preserve">To provide information, training and supervision to achieve this. </w:t>
      </w:r>
    </w:p>
    <w:p w14:paraId="378FBF87" w14:textId="77777777" w:rsidR="009C008A" w:rsidRDefault="008B6700">
      <w:pPr>
        <w:spacing w:line="259" w:lineRule="auto"/>
        <w:ind w:left="0" w:firstLine="0"/>
      </w:pPr>
      <w:r>
        <w:t xml:space="preserve"> </w:t>
      </w:r>
    </w:p>
    <w:p w14:paraId="20B381C6" w14:textId="69E00C91" w:rsidR="009C008A" w:rsidRDefault="008B6700">
      <w:pPr>
        <w:ind w:left="-5" w:right="108"/>
      </w:pPr>
      <w:r>
        <w:t xml:space="preserve">To comply with the Health and Safety at work Act 1974 and subsequent regulations and work within framework of both Health and Safety policies of </w:t>
      </w:r>
      <w:proofErr w:type="gramStart"/>
      <w:r>
        <w:t xml:space="preserve">the </w:t>
      </w:r>
      <w:r w:rsidR="00C9744B">
        <w:t xml:space="preserve"> Tavistock</w:t>
      </w:r>
      <w:proofErr w:type="gramEnd"/>
      <w:r w:rsidR="00C9744B">
        <w:t xml:space="preserve"> and Portman NHS </w:t>
      </w:r>
      <w:r>
        <w:t xml:space="preserve">Trust and those of the Department of Education. </w:t>
      </w:r>
    </w:p>
    <w:p w14:paraId="218659B4" w14:textId="77777777" w:rsidR="009C008A" w:rsidRDefault="008B6700">
      <w:pPr>
        <w:spacing w:line="259" w:lineRule="auto"/>
        <w:ind w:left="0" w:firstLine="0"/>
      </w:pPr>
      <w:r>
        <w:t xml:space="preserve"> </w:t>
      </w:r>
    </w:p>
    <w:p w14:paraId="3A2C20E3" w14:textId="77777777" w:rsidR="009C008A" w:rsidRDefault="008B6700">
      <w:pPr>
        <w:numPr>
          <w:ilvl w:val="0"/>
          <w:numId w:val="1"/>
        </w:numPr>
        <w:spacing w:after="21" w:line="259" w:lineRule="auto"/>
        <w:ind w:hanging="269"/>
      </w:pPr>
      <w:r>
        <w:rPr>
          <w:b/>
        </w:rPr>
        <w:t xml:space="preserve">Responsibilities </w:t>
      </w:r>
    </w:p>
    <w:p w14:paraId="49F67DC7" w14:textId="206F472C" w:rsidR="009C008A" w:rsidRDefault="008B6700">
      <w:pPr>
        <w:ind w:left="-5" w:right="108"/>
      </w:pPr>
      <w:r>
        <w:t xml:space="preserve">The </w:t>
      </w:r>
      <w:r w:rsidRPr="000343B8">
        <w:t>Head</w:t>
      </w:r>
      <w:r w:rsidR="005C4DF2" w:rsidRPr="000343B8">
        <w:t>t</w:t>
      </w:r>
      <w:r w:rsidRPr="000343B8">
        <w:t>eacher</w:t>
      </w:r>
      <w:r w:rsidR="00C9744B">
        <w:t xml:space="preserve"> and Clinical Lead</w:t>
      </w:r>
      <w:r>
        <w:t xml:space="preserve"> hold overall responsibility for Health </w:t>
      </w:r>
      <w:r w:rsidR="007D4DE8">
        <w:t>&amp;</w:t>
      </w:r>
      <w:r>
        <w:t xml:space="preserve"> Safety </w:t>
      </w:r>
      <w:proofErr w:type="gramStart"/>
      <w:r>
        <w:t>at  Gloucester</w:t>
      </w:r>
      <w:proofErr w:type="gramEnd"/>
      <w:r>
        <w:t xml:space="preserve"> House</w:t>
      </w:r>
      <w:r w:rsidR="00F43223">
        <w:t xml:space="preserve"> on behalf of the Tavistock and Portman NHS Trust</w:t>
      </w:r>
      <w:r>
        <w:t xml:space="preserve">. </w:t>
      </w:r>
    </w:p>
    <w:p w14:paraId="104428EB" w14:textId="77777777" w:rsidR="009C008A" w:rsidRDefault="008B6700">
      <w:pPr>
        <w:spacing w:line="259" w:lineRule="auto"/>
        <w:ind w:left="0" w:firstLine="0"/>
      </w:pPr>
      <w:r>
        <w:t xml:space="preserve"> </w:t>
      </w:r>
    </w:p>
    <w:p w14:paraId="21E268E2" w14:textId="1E135F49" w:rsidR="009C008A" w:rsidRDefault="008B6700">
      <w:pPr>
        <w:ind w:left="-5" w:right="108"/>
      </w:pPr>
      <w:r>
        <w:t xml:space="preserve">The </w:t>
      </w:r>
      <w:r w:rsidR="005C4DF2" w:rsidRPr="000343B8">
        <w:t xml:space="preserve">Headteacher </w:t>
      </w:r>
      <w:r w:rsidRPr="000343B8">
        <w:t>is</w:t>
      </w:r>
      <w:r>
        <w:t xml:space="preserve"> the named member of staff with </w:t>
      </w:r>
      <w:proofErr w:type="gramStart"/>
      <w:r>
        <w:t>responsibility</w:t>
      </w:r>
      <w:proofErr w:type="gramEnd"/>
      <w:r>
        <w:t xml:space="preserve"> but Gloucester House</w:t>
      </w:r>
      <w:r w:rsidR="00117086">
        <w:t xml:space="preserve"> and the Tavistock and Portman NHS </w:t>
      </w:r>
      <w:proofErr w:type="gramStart"/>
      <w:r w:rsidR="00117086">
        <w:t xml:space="preserve">Trust </w:t>
      </w:r>
      <w:r>
        <w:t xml:space="preserve"> recognise</w:t>
      </w:r>
      <w:proofErr w:type="gramEnd"/>
      <w:r>
        <w:t xml:space="preserve"> the corporate responsibility to ensure the safety of all staff, pupils and visitors. </w:t>
      </w:r>
    </w:p>
    <w:p w14:paraId="05DE71B5" w14:textId="77777777" w:rsidR="009C008A" w:rsidRDefault="008B6700">
      <w:pPr>
        <w:spacing w:line="259" w:lineRule="auto"/>
        <w:ind w:left="0" w:firstLine="0"/>
      </w:pPr>
      <w:r>
        <w:t xml:space="preserve"> </w:t>
      </w:r>
    </w:p>
    <w:p w14:paraId="41BCEACB" w14:textId="77777777" w:rsidR="009C008A" w:rsidRDefault="008B6700">
      <w:pPr>
        <w:spacing w:after="21" w:line="259" w:lineRule="auto"/>
        <w:ind w:left="-5"/>
      </w:pPr>
      <w:r>
        <w:rPr>
          <w:b/>
        </w:rPr>
        <w:t xml:space="preserve">This involves responsibility for: </w:t>
      </w:r>
    </w:p>
    <w:p w14:paraId="078856E0" w14:textId="4AEC38DA" w:rsidR="009C008A" w:rsidRDefault="008B6700">
      <w:pPr>
        <w:numPr>
          <w:ilvl w:val="0"/>
          <w:numId w:val="2"/>
        </w:numPr>
        <w:spacing w:after="39"/>
        <w:ind w:right="108" w:hanging="283"/>
      </w:pPr>
      <w:r>
        <w:t xml:space="preserve">The Management of all Health </w:t>
      </w:r>
      <w:r w:rsidR="007D4DE8">
        <w:t>&amp;</w:t>
      </w:r>
      <w:r>
        <w:t xml:space="preserve"> Safety matters in accordance with this p</w:t>
      </w:r>
      <w:r w:rsidR="00C9744B">
        <w:t>rocedure in line with Tavistock &amp; Portman NHS Trust policies and procedures</w:t>
      </w:r>
    </w:p>
    <w:p w14:paraId="13B4E158" w14:textId="77777777" w:rsidR="009C008A" w:rsidRDefault="008B6700">
      <w:pPr>
        <w:numPr>
          <w:ilvl w:val="0"/>
          <w:numId w:val="2"/>
        </w:numPr>
        <w:spacing w:after="40"/>
        <w:ind w:right="108" w:hanging="283"/>
      </w:pPr>
      <w:r>
        <w:t xml:space="preserve">Ensuring that Risk Assessments are made where appropriate, that appropriate action is carried out, and that they are regularly reviewed. </w:t>
      </w:r>
    </w:p>
    <w:p w14:paraId="68B68E20" w14:textId="77777777" w:rsidR="002F0DD1" w:rsidRDefault="002F0DD1">
      <w:pPr>
        <w:spacing w:after="21" w:line="259" w:lineRule="auto"/>
        <w:ind w:left="-5"/>
        <w:rPr>
          <w:b/>
        </w:rPr>
      </w:pPr>
    </w:p>
    <w:p w14:paraId="5A89B3C9" w14:textId="1FDC7D10" w:rsidR="009C008A" w:rsidRDefault="008B6700">
      <w:pPr>
        <w:spacing w:after="21" w:line="259" w:lineRule="auto"/>
        <w:ind w:left="-5"/>
      </w:pPr>
      <w:r>
        <w:rPr>
          <w:b/>
        </w:rPr>
        <w:t xml:space="preserve">All staff are responsible for: </w:t>
      </w:r>
    </w:p>
    <w:p w14:paraId="6FC30567" w14:textId="5076A3B6" w:rsidR="009C008A" w:rsidRDefault="008B6700">
      <w:pPr>
        <w:numPr>
          <w:ilvl w:val="0"/>
          <w:numId w:val="2"/>
        </w:numPr>
        <w:spacing w:after="34"/>
        <w:ind w:right="108" w:hanging="283"/>
      </w:pPr>
      <w:r>
        <w:t xml:space="preserve">Ensuring that reasonable care for the Health </w:t>
      </w:r>
      <w:r w:rsidR="007D4DE8">
        <w:t>&amp;</w:t>
      </w:r>
      <w:r>
        <w:t xml:space="preserve"> Safety of themselves and those they work with are taken. </w:t>
      </w:r>
    </w:p>
    <w:p w14:paraId="6132BB93" w14:textId="3E97820C" w:rsidR="00E145BE" w:rsidRDefault="008B6700" w:rsidP="00E145BE">
      <w:pPr>
        <w:numPr>
          <w:ilvl w:val="0"/>
          <w:numId w:val="2"/>
        </w:numPr>
        <w:ind w:right="108" w:hanging="283"/>
      </w:pPr>
      <w:r>
        <w:t xml:space="preserve">Ensuring that they comply with any requirement made of them under Health </w:t>
      </w:r>
      <w:r w:rsidR="007D4DE8">
        <w:t>&amp;</w:t>
      </w:r>
      <w:r>
        <w:t xml:space="preserve"> Safety legislation or specified in this P</w:t>
      </w:r>
      <w:r w:rsidR="00F43223">
        <w:t>rocedure</w:t>
      </w:r>
      <w:r>
        <w:t xml:space="preserve">. </w:t>
      </w:r>
    </w:p>
    <w:p w14:paraId="4D35C9F3" w14:textId="4C0A1375" w:rsidR="00F43223" w:rsidRDefault="00E145BE" w:rsidP="00F43223">
      <w:pPr>
        <w:numPr>
          <w:ilvl w:val="0"/>
          <w:numId w:val="2"/>
        </w:numPr>
        <w:spacing w:line="259" w:lineRule="auto"/>
        <w:ind w:left="0" w:right="108" w:firstLine="0"/>
      </w:pPr>
      <w:r w:rsidRPr="00E145BE">
        <w:t xml:space="preserve">Ensuring they are qualified in food handling </w:t>
      </w:r>
      <w:r w:rsidR="002F0DD1">
        <w:t xml:space="preserve">as needed </w:t>
      </w:r>
      <w:r w:rsidRPr="00E145BE">
        <w:t xml:space="preserve">and follow their relevant training. </w:t>
      </w:r>
    </w:p>
    <w:p w14:paraId="1E537885" w14:textId="3A0AD90E" w:rsidR="009C008A" w:rsidRDefault="008B6700" w:rsidP="00F43223">
      <w:pPr>
        <w:spacing w:line="259" w:lineRule="auto"/>
        <w:ind w:left="0" w:right="108" w:firstLine="0"/>
      </w:pPr>
      <w:r w:rsidRPr="00F43223">
        <w:rPr>
          <w:b/>
        </w:rPr>
        <w:t xml:space="preserve"> </w:t>
      </w:r>
    </w:p>
    <w:p w14:paraId="034349E8" w14:textId="77777777" w:rsidR="009C008A" w:rsidRDefault="008B6700">
      <w:pPr>
        <w:spacing w:after="21" w:line="259" w:lineRule="auto"/>
        <w:ind w:left="-5"/>
      </w:pPr>
      <w:r>
        <w:rPr>
          <w:b/>
        </w:rPr>
        <w:t xml:space="preserve">The Trust Estates department are responsible for: </w:t>
      </w:r>
    </w:p>
    <w:p w14:paraId="491D9F2D" w14:textId="2E8BEFCD" w:rsidR="007D4DE8" w:rsidRDefault="008B6700">
      <w:pPr>
        <w:numPr>
          <w:ilvl w:val="0"/>
          <w:numId w:val="2"/>
        </w:numPr>
        <w:ind w:right="108" w:hanging="283"/>
      </w:pPr>
      <w:r>
        <w:t xml:space="preserve">Ensuring that </w:t>
      </w:r>
      <w:r w:rsidR="008D5D7A">
        <w:t>regular</w:t>
      </w:r>
      <w:r>
        <w:t xml:space="preserve"> checks are made of playground and </w:t>
      </w:r>
      <w:r w:rsidR="008D5D7A">
        <w:t>building.</w:t>
      </w:r>
    </w:p>
    <w:p w14:paraId="4776F69D" w14:textId="0BAB63BA" w:rsidR="009C008A" w:rsidRDefault="008B6700">
      <w:pPr>
        <w:numPr>
          <w:ilvl w:val="0"/>
          <w:numId w:val="2"/>
        </w:numPr>
        <w:ind w:right="108" w:hanging="283"/>
      </w:pPr>
      <w:r>
        <w:t xml:space="preserve">General maintenance of building and facilities. </w:t>
      </w:r>
    </w:p>
    <w:p w14:paraId="2F7F9389" w14:textId="77777777" w:rsidR="00BA7587" w:rsidRDefault="00BA7587" w:rsidP="00333DEC">
      <w:pPr>
        <w:ind w:right="108"/>
      </w:pPr>
    </w:p>
    <w:p w14:paraId="44638FC8" w14:textId="77777777" w:rsidR="00333DEC" w:rsidRDefault="00333DEC" w:rsidP="00333DEC">
      <w:pPr>
        <w:spacing w:after="21" w:line="259" w:lineRule="auto"/>
        <w:ind w:left="-5"/>
      </w:pPr>
      <w:r>
        <w:rPr>
          <w:b/>
        </w:rPr>
        <w:t xml:space="preserve">Human Resources are responsible for: </w:t>
      </w:r>
    </w:p>
    <w:p w14:paraId="3A8FCEB6" w14:textId="77777777" w:rsidR="00333DEC" w:rsidRDefault="00333DEC" w:rsidP="00333DEC">
      <w:pPr>
        <w:numPr>
          <w:ilvl w:val="0"/>
          <w:numId w:val="2"/>
        </w:numPr>
        <w:ind w:right="108" w:hanging="283"/>
      </w:pPr>
      <w:r>
        <w:t xml:space="preserve">Checking that all new staff have enhanced DBS clearance, qualifications and suitability. </w:t>
      </w:r>
    </w:p>
    <w:p w14:paraId="39F9FAE7" w14:textId="77777777" w:rsidR="00333DEC" w:rsidRPr="002F0DD1" w:rsidRDefault="00333DEC" w:rsidP="00333DEC">
      <w:pPr>
        <w:numPr>
          <w:ilvl w:val="0"/>
          <w:numId w:val="2"/>
        </w:numPr>
        <w:spacing w:after="5" w:line="250" w:lineRule="auto"/>
        <w:ind w:right="108" w:hanging="283"/>
      </w:pPr>
      <w:r w:rsidRPr="002F0DD1">
        <w:t xml:space="preserve">Ensuring that all staff are aware of the advisability of being immunised for Tetanus and hepatitis B and to offer immunisation if appropriate. </w:t>
      </w:r>
    </w:p>
    <w:p w14:paraId="54E08538" w14:textId="77777777" w:rsidR="00333DEC" w:rsidRDefault="00333DEC" w:rsidP="00333DEC">
      <w:pPr>
        <w:ind w:right="108"/>
      </w:pPr>
    </w:p>
    <w:p w14:paraId="39DFBAC2" w14:textId="77777777" w:rsidR="009C008A" w:rsidRDefault="008B6700">
      <w:pPr>
        <w:spacing w:line="259" w:lineRule="auto"/>
        <w:ind w:left="0" w:firstLine="0"/>
      </w:pPr>
      <w:r>
        <w:rPr>
          <w:b/>
        </w:rPr>
        <w:t xml:space="preserve"> </w:t>
      </w:r>
    </w:p>
    <w:p w14:paraId="570C6729" w14:textId="77777777" w:rsidR="009C008A" w:rsidRDefault="008B6700">
      <w:pPr>
        <w:spacing w:after="21" w:line="259" w:lineRule="auto"/>
        <w:ind w:left="-5"/>
      </w:pPr>
      <w:r>
        <w:rPr>
          <w:b/>
        </w:rPr>
        <w:lastRenderedPageBreak/>
        <w:t>The Catering Assistant is responsible for:</w:t>
      </w:r>
      <w:r>
        <w:t xml:space="preserve"> </w:t>
      </w:r>
    </w:p>
    <w:p w14:paraId="11DE8310" w14:textId="7FF85B32" w:rsidR="009C008A" w:rsidRDefault="008B6700">
      <w:pPr>
        <w:numPr>
          <w:ilvl w:val="0"/>
          <w:numId w:val="2"/>
        </w:numPr>
        <w:spacing w:after="40"/>
        <w:ind w:right="108" w:hanging="283"/>
      </w:pPr>
      <w:r>
        <w:t xml:space="preserve">Ensuring that the kitchen area and the serving of food meet Health </w:t>
      </w:r>
      <w:r w:rsidR="007D4DE8">
        <w:t>&amp;</w:t>
      </w:r>
      <w:r>
        <w:t xml:space="preserve"> Safety standards. </w:t>
      </w:r>
    </w:p>
    <w:p w14:paraId="2056B742" w14:textId="6BDF31E6" w:rsidR="009C008A" w:rsidRDefault="007D4DE8">
      <w:pPr>
        <w:numPr>
          <w:ilvl w:val="0"/>
          <w:numId w:val="2"/>
        </w:numPr>
        <w:ind w:right="108" w:hanging="283"/>
      </w:pPr>
      <w:r>
        <w:t>Ensuring they</w:t>
      </w:r>
      <w:r w:rsidR="008B6700">
        <w:t xml:space="preserve"> </w:t>
      </w:r>
      <w:r>
        <w:t>are</w:t>
      </w:r>
      <w:r w:rsidR="008B6700">
        <w:t xml:space="preserve"> qualified in food handling</w:t>
      </w:r>
      <w:r>
        <w:t xml:space="preserve"> and follow their relevant training</w:t>
      </w:r>
      <w:r w:rsidR="008B6700">
        <w:t xml:space="preserve">.  </w:t>
      </w:r>
    </w:p>
    <w:p w14:paraId="39C12C87" w14:textId="77777777" w:rsidR="009C008A" w:rsidRDefault="008B6700">
      <w:pPr>
        <w:spacing w:line="259" w:lineRule="auto"/>
        <w:ind w:left="0" w:firstLine="0"/>
      </w:pPr>
      <w:r>
        <w:t xml:space="preserve"> </w:t>
      </w:r>
    </w:p>
    <w:p w14:paraId="294F9FE8" w14:textId="5EE257AF" w:rsidR="009C008A" w:rsidRDefault="008B6700" w:rsidP="00F43223">
      <w:pPr>
        <w:spacing w:line="259" w:lineRule="auto"/>
        <w:ind w:left="0" w:firstLine="0"/>
      </w:pPr>
      <w:r>
        <w:rPr>
          <w:b/>
        </w:rPr>
        <w:t xml:space="preserve"> All pupils and their parents/carers are responsible for: </w:t>
      </w:r>
    </w:p>
    <w:p w14:paraId="6EB63E6D" w14:textId="77777777" w:rsidR="009C008A" w:rsidRDefault="008B6700">
      <w:pPr>
        <w:numPr>
          <w:ilvl w:val="0"/>
          <w:numId w:val="2"/>
        </w:numPr>
        <w:ind w:right="108" w:hanging="283"/>
      </w:pPr>
      <w:r>
        <w:t xml:space="preserve">Ensuring that they follow rules and instructions given by staff </w:t>
      </w:r>
    </w:p>
    <w:p w14:paraId="6FEBB698" w14:textId="3958217C" w:rsidR="00E145BE" w:rsidRDefault="00E145BE">
      <w:pPr>
        <w:numPr>
          <w:ilvl w:val="0"/>
          <w:numId w:val="2"/>
        </w:numPr>
        <w:ind w:right="108" w:hanging="283"/>
      </w:pPr>
      <w:r>
        <w:t>Reporting any changes to health to the relevant party</w:t>
      </w:r>
    </w:p>
    <w:p w14:paraId="6085CFCF" w14:textId="77777777" w:rsidR="009C008A" w:rsidRDefault="008B6700">
      <w:pPr>
        <w:spacing w:line="259" w:lineRule="auto"/>
        <w:ind w:left="0" w:firstLine="0"/>
      </w:pPr>
      <w:r>
        <w:t xml:space="preserve"> </w:t>
      </w:r>
    </w:p>
    <w:p w14:paraId="08822DEA" w14:textId="77777777" w:rsidR="009C008A" w:rsidRDefault="008B6700">
      <w:pPr>
        <w:spacing w:after="21" w:line="259" w:lineRule="auto"/>
        <w:ind w:left="-5"/>
      </w:pPr>
      <w:r>
        <w:rPr>
          <w:b/>
        </w:rPr>
        <w:t xml:space="preserve">All visitors are responsible for: </w:t>
      </w:r>
    </w:p>
    <w:p w14:paraId="05282B33" w14:textId="77777777" w:rsidR="009C008A" w:rsidRDefault="008B6700">
      <w:pPr>
        <w:numPr>
          <w:ilvl w:val="0"/>
          <w:numId w:val="2"/>
        </w:numPr>
        <w:ind w:right="108" w:hanging="283"/>
      </w:pPr>
      <w:r>
        <w:t xml:space="preserve">Ensuring that they follow guidelines given to ensure their own, and others, health and safety. </w:t>
      </w:r>
    </w:p>
    <w:p w14:paraId="710DF80D" w14:textId="77777777" w:rsidR="009C008A" w:rsidRDefault="008B6700">
      <w:pPr>
        <w:spacing w:line="259" w:lineRule="auto"/>
        <w:ind w:left="0" w:firstLine="0"/>
      </w:pPr>
      <w:r>
        <w:rPr>
          <w:b/>
        </w:rPr>
        <w:t xml:space="preserve"> </w:t>
      </w:r>
    </w:p>
    <w:p w14:paraId="21C25D82" w14:textId="77777777" w:rsidR="00BA7587" w:rsidRDefault="00BA7587" w:rsidP="00BA7587">
      <w:pPr>
        <w:ind w:left="283" w:right="108" w:firstLine="0"/>
      </w:pPr>
    </w:p>
    <w:p w14:paraId="446B3975" w14:textId="77777777" w:rsidR="009C008A" w:rsidRDefault="008B6700">
      <w:pPr>
        <w:spacing w:line="259" w:lineRule="auto"/>
        <w:ind w:left="0" w:firstLine="0"/>
      </w:pPr>
      <w:r>
        <w:t xml:space="preserve"> </w:t>
      </w:r>
    </w:p>
    <w:p w14:paraId="608824AE" w14:textId="77777777" w:rsidR="009C008A" w:rsidRDefault="008B6700">
      <w:pPr>
        <w:spacing w:after="21" w:line="259" w:lineRule="auto"/>
        <w:ind w:left="-5"/>
      </w:pPr>
      <w:r>
        <w:rPr>
          <w:b/>
        </w:rPr>
        <w:t xml:space="preserve">3. Monitoring / Reviewing  </w:t>
      </w:r>
    </w:p>
    <w:p w14:paraId="61F4059E" w14:textId="18443B3A" w:rsidR="009C008A" w:rsidRDefault="008B6700">
      <w:pPr>
        <w:ind w:left="-5" w:right="108"/>
      </w:pPr>
      <w:r w:rsidRPr="00382F8F">
        <w:t>The Trust</w:t>
      </w:r>
      <w:r w:rsidR="00F43223" w:rsidRPr="00382F8F">
        <w:t xml:space="preserve"> Estates team</w:t>
      </w:r>
      <w:r w:rsidRPr="00382F8F">
        <w:t xml:space="preserve"> </w:t>
      </w:r>
      <w:r w:rsidR="005C78A2" w:rsidRPr="00382F8F">
        <w:t>liaise with the school SLT through regular visits, monthly meetings and fortnightly Delivery Group meeting</w:t>
      </w:r>
      <w:r w:rsidR="005C78A2" w:rsidRPr="000C4E6C">
        <w:t>s</w:t>
      </w:r>
      <w:r w:rsidR="000C4E6C" w:rsidRPr="000C4E6C">
        <w:t>.</w:t>
      </w:r>
      <w:r w:rsidR="00382F8F" w:rsidRPr="000C4E6C">
        <w:t xml:space="preserve"> </w:t>
      </w:r>
    </w:p>
    <w:p w14:paraId="69887981" w14:textId="77777777" w:rsidR="009C008A" w:rsidRDefault="008B6700">
      <w:pPr>
        <w:spacing w:line="259" w:lineRule="auto"/>
        <w:ind w:left="0" w:firstLine="0"/>
      </w:pPr>
      <w:r>
        <w:t xml:space="preserve"> </w:t>
      </w:r>
    </w:p>
    <w:p w14:paraId="33AA346A" w14:textId="057079E5" w:rsidR="009C008A" w:rsidRDefault="008B6700">
      <w:pPr>
        <w:ind w:left="-5" w:right="108"/>
      </w:pPr>
      <w:r w:rsidRPr="00C17DD9">
        <w:t>The</w:t>
      </w:r>
      <w:r w:rsidR="00382F8F" w:rsidRPr="00C17DD9">
        <w:t xml:space="preserve"> </w:t>
      </w:r>
      <w:r w:rsidR="00C17DD9" w:rsidRPr="00C17DD9">
        <w:t>Clinical</w:t>
      </w:r>
      <w:r w:rsidR="00382F8F" w:rsidRPr="00C17DD9">
        <w:t xml:space="preserve"> </w:t>
      </w:r>
      <w:r w:rsidR="00C17DD9" w:rsidRPr="00C17DD9">
        <w:t>L</w:t>
      </w:r>
      <w:r w:rsidR="00382F8F" w:rsidRPr="00C17DD9">
        <w:t xml:space="preserve">ead meets weekly with the </w:t>
      </w:r>
      <w:r w:rsidR="00C17DD9" w:rsidRPr="00C17DD9">
        <w:t>Patient</w:t>
      </w:r>
      <w:r w:rsidR="00382F8F" w:rsidRPr="00C17DD9">
        <w:t xml:space="preserve"> Safety Team. All incidents are reviewed and monitored by the Tavistock and Portman NHS Trus</w:t>
      </w:r>
      <w:r w:rsidR="00C17DD9" w:rsidRPr="00C17DD9">
        <w:t xml:space="preserve">t. </w:t>
      </w:r>
      <w:r w:rsidRPr="00C17DD9">
        <w:t xml:space="preserve"> </w:t>
      </w:r>
      <w:r w:rsidR="005C4DF2" w:rsidRPr="00C17DD9">
        <w:t>Headteacher</w:t>
      </w:r>
      <w:r w:rsidRPr="00C17DD9">
        <w:t xml:space="preserve">, or a representative, will attend Health and Safety meetings of the Trust as appropriate. Weekly monitoring reports </w:t>
      </w:r>
      <w:r w:rsidR="005C4DF2" w:rsidRPr="00C17DD9">
        <w:t xml:space="preserve">(through our Gloucester House Operations Meeting) </w:t>
      </w:r>
      <w:r w:rsidRPr="00C17DD9">
        <w:t>are shared with staff and reported to the Health &amp; Safety Manager as necessary.</w:t>
      </w:r>
      <w:r>
        <w:t xml:space="preserve"> </w:t>
      </w:r>
    </w:p>
    <w:p w14:paraId="23A9853A" w14:textId="77777777" w:rsidR="009C008A" w:rsidRDefault="008B6700">
      <w:pPr>
        <w:spacing w:line="259" w:lineRule="auto"/>
        <w:ind w:left="0" w:firstLine="0"/>
      </w:pPr>
      <w:r>
        <w:rPr>
          <w:b/>
        </w:rPr>
        <w:t xml:space="preserve"> </w:t>
      </w:r>
    </w:p>
    <w:p w14:paraId="3968B6D2" w14:textId="77777777" w:rsidR="009C008A" w:rsidRDefault="008B6700">
      <w:pPr>
        <w:spacing w:after="21" w:line="259" w:lineRule="auto"/>
        <w:ind w:left="-5"/>
      </w:pPr>
      <w:r>
        <w:rPr>
          <w:b/>
        </w:rPr>
        <w:t xml:space="preserve">Reporting Hazards, Accidents and Incidents. </w:t>
      </w:r>
    </w:p>
    <w:p w14:paraId="013A6B56" w14:textId="77777777" w:rsidR="009C008A" w:rsidRDefault="008B6700">
      <w:pPr>
        <w:spacing w:after="23" w:line="259" w:lineRule="auto"/>
        <w:ind w:left="0" w:firstLine="0"/>
      </w:pPr>
      <w:r>
        <w:t xml:space="preserve"> </w:t>
      </w:r>
    </w:p>
    <w:p w14:paraId="39347BF0" w14:textId="498F3C75" w:rsidR="009C008A" w:rsidRDefault="008B6700">
      <w:pPr>
        <w:numPr>
          <w:ilvl w:val="0"/>
          <w:numId w:val="3"/>
        </w:numPr>
        <w:ind w:right="108" w:hanging="365"/>
      </w:pPr>
      <w:r>
        <w:t xml:space="preserve">All Incidents/Accidents and Near Misses will be recorded on </w:t>
      </w:r>
      <w:r w:rsidR="00E145BE">
        <w:t>Radar and reviewed by the Clinical Lead</w:t>
      </w:r>
      <w:r>
        <w:t>. Restraints will also be recorded</w:t>
      </w:r>
      <w:r w:rsidR="00E145BE">
        <w:t xml:space="preserve"> on Radar and the incident number cited</w:t>
      </w:r>
      <w:r>
        <w:t xml:space="preserve"> in the </w:t>
      </w:r>
      <w:r w:rsidR="00E145BE">
        <w:t>Team Teach restraint</w:t>
      </w:r>
      <w:r>
        <w:t xml:space="preserve"> Logbook</w:t>
      </w:r>
      <w:r w:rsidR="00E145BE">
        <w:t xml:space="preserve"> by the staff who report the incident</w:t>
      </w:r>
      <w:r>
        <w:t xml:space="preserve">. These incidents will be monitored by the headteacher, </w:t>
      </w:r>
      <w:r w:rsidR="00E145BE">
        <w:t xml:space="preserve">and </w:t>
      </w:r>
      <w:r>
        <w:t>the Team Teach Lead</w:t>
      </w:r>
      <w:r w:rsidR="00E145BE">
        <w:t xml:space="preserve">. </w:t>
      </w:r>
    </w:p>
    <w:p w14:paraId="2D837AC9" w14:textId="77777777" w:rsidR="009C008A" w:rsidRDefault="008B6700">
      <w:pPr>
        <w:spacing w:after="23" w:line="259" w:lineRule="auto"/>
        <w:ind w:left="365" w:firstLine="0"/>
      </w:pPr>
      <w:r>
        <w:t xml:space="preserve"> </w:t>
      </w:r>
    </w:p>
    <w:p w14:paraId="280A32BC" w14:textId="39EF6BD4" w:rsidR="009C008A" w:rsidRDefault="008B6700">
      <w:pPr>
        <w:numPr>
          <w:ilvl w:val="0"/>
          <w:numId w:val="3"/>
        </w:numPr>
        <w:ind w:right="108" w:hanging="365"/>
      </w:pPr>
      <w:r>
        <w:t xml:space="preserve">Any areas of potential Health and Safety concern will be recorded on </w:t>
      </w:r>
      <w:r w:rsidR="00E145BE">
        <w:t>Radar</w:t>
      </w:r>
      <w:r>
        <w:t xml:space="preserve"> as soon as possible. </w:t>
      </w:r>
    </w:p>
    <w:p w14:paraId="2A49153D" w14:textId="77777777" w:rsidR="009C008A" w:rsidRDefault="008B6700">
      <w:pPr>
        <w:spacing w:after="18" w:line="259" w:lineRule="auto"/>
        <w:ind w:left="365" w:firstLine="0"/>
      </w:pPr>
      <w:r>
        <w:t xml:space="preserve"> </w:t>
      </w:r>
    </w:p>
    <w:p w14:paraId="0633B09C" w14:textId="6098E800" w:rsidR="009C008A" w:rsidRPr="007941D4" w:rsidRDefault="008B6700" w:rsidP="007D4DE8">
      <w:pPr>
        <w:numPr>
          <w:ilvl w:val="0"/>
          <w:numId w:val="3"/>
        </w:numPr>
        <w:ind w:right="108" w:hanging="365"/>
      </w:pPr>
      <w:r w:rsidRPr="007941D4">
        <w:t xml:space="preserve">A record of staff sickness and absence will be kept by Gloucester </w:t>
      </w:r>
      <w:proofErr w:type="gramStart"/>
      <w:r w:rsidRPr="007941D4">
        <w:t xml:space="preserve">House’s </w:t>
      </w:r>
      <w:r w:rsidR="007941D4" w:rsidRPr="007941D4">
        <w:t xml:space="preserve"> Operations</w:t>
      </w:r>
      <w:proofErr w:type="gramEnd"/>
      <w:r w:rsidR="007941D4" w:rsidRPr="007941D4">
        <w:t xml:space="preserve"> Manager </w:t>
      </w:r>
      <w:proofErr w:type="gramStart"/>
      <w:r w:rsidR="007941D4" w:rsidRPr="007941D4">
        <w:t xml:space="preserve">and </w:t>
      </w:r>
      <w:r w:rsidRPr="007941D4">
        <w:t xml:space="preserve"> monitored</w:t>
      </w:r>
      <w:proofErr w:type="gramEnd"/>
      <w:r w:rsidRPr="007941D4">
        <w:t xml:space="preserve"> by the </w:t>
      </w:r>
      <w:r w:rsidR="005C4DF2" w:rsidRPr="007941D4">
        <w:t>Headteacher</w:t>
      </w:r>
      <w:r w:rsidR="00E145BE" w:rsidRPr="007941D4">
        <w:t>.</w:t>
      </w:r>
    </w:p>
    <w:p w14:paraId="22A0F6B6" w14:textId="77777777" w:rsidR="00E145BE" w:rsidRDefault="00E145BE" w:rsidP="00E145BE">
      <w:pPr>
        <w:pStyle w:val="ListParagraph"/>
      </w:pPr>
    </w:p>
    <w:p w14:paraId="2D1BE806" w14:textId="58A66937" w:rsidR="00E145BE" w:rsidRPr="00585621" w:rsidRDefault="00E145BE" w:rsidP="007D4DE8">
      <w:pPr>
        <w:numPr>
          <w:ilvl w:val="0"/>
          <w:numId w:val="3"/>
        </w:numPr>
        <w:ind w:right="108" w:hanging="365"/>
      </w:pPr>
      <w:r w:rsidRPr="00585621">
        <w:t>Staff will receive individual, class and whole team reflective practice to support wellbeing and the impact of stress in the workplace.</w:t>
      </w:r>
    </w:p>
    <w:p w14:paraId="080B0B7F" w14:textId="77777777" w:rsidR="009C008A" w:rsidRDefault="008B6700">
      <w:pPr>
        <w:spacing w:after="18" w:line="259" w:lineRule="auto"/>
        <w:ind w:left="0" w:firstLine="0"/>
      </w:pPr>
      <w:r>
        <w:t xml:space="preserve"> </w:t>
      </w:r>
    </w:p>
    <w:p w14:paraId="2AC4AACE" w14:textId="77777777" w:rsidR="009C008A" w:rsidRDefault="008B6700">
      <w:pPr>
        <w:numPr>
          <w:ilvl w:val="0"/>
          <w:numId w:val="3"/>
        </w:numPr>
        <w:ind w:right="108" w:hanging="365"/>
      </w:pPr>
      <w:r>
        <w:t xml:space="preserve">The Senior Leadership Team will monitor stress levels, during weekly team meetings, debriefs and individual supervision.  They will recommend appropriate action where necessary; this may include change of work practice, counselling or referral to Staff Consultation/ Occupational Health. </w:t>
      </w:r>
    </w:p>
    <w:p w14:paraId="55D965FE" w14:textId="77777777" w:rsidR="009C008A" w:rsidRDefault="008B6700">
      <w:pPr>
        <w:spacing w:after="23" w:line="259" w:lineRule="auto"/>
        <w:ind w:left="0" w:firstLine="0"/>
      </w:pPr>
      <w:r>
        <w:lastRenderedPageBreak/>
        <w:t xml:space="preserve"> </w:t>
      </w:r>
    </w:p>
    <w:p w14:paraId="102AB437" w14:textId="77777777" w:rsidR="009C008A" w:rsidRDefault="008B6700">
      <w:pPr>
        <w:numPr>
          <w:ilvl w:val="0"/>
          <w:numId w:val="3"/>
        </w:numPr>
        <w:ind w:right="108" w:hanging="365"/>
      </w:pPr>
      <w:r>
        <w:t xml:space="preserve">Staff will be kept aware of, and the necessity in complying with, procedures for occasions when staff are working alone, either at school or off-site. </w:t>
      </w:r>
    </w:p>
    <w:p w14:paraId="51506DE2" w14:textId="77777777" w:rsidR="009C008A" w:rsidRDefault="008B6700">
      <w:pPr>
        <w:spacing w:line="259" w:lineRule="auto"/>
        <w:ind w:left="365" w:firstLine="0"/>
      </w:pPr>
      <w:r>
        <w:t xml:space="preserve"> </w:t>
      </w:r>
    </w:p>
    <w:p w14:paraId="15945105" w14:textId="77777777" w:rsidR="009C008A" w:rsidRDefault="008B6700">
      <w:pPr>
        <w:ind w:left="-5" w:right="108"/>
      </w:pPr>
      <w:r>
        <w:t xml:space="preserve">In the event of a child leaving the building without permission or when they cannot be found within the building following a thorough search the following procedures apply: </w:t>
      </w:r>
    </w:p>
    <w:p w14:paraId="75F4DF17" w14:textId="77777777" w:rsidR="009C008A" w:rsidRDefault="008B6700">
      <w:pPr>
        <w:spacing w:after="18" w:line="259" w:lineRule="auto"/>
        <w:ind w:left="0" w:firstLine="0"/>
      </w:pPr>
      <w:r>
        <w:t xml:space="preserve"> </w:t>
      </w:r>
    </w:p>
    <w:p w14:paraId="5F1CBC88" w14:textId="08C44413" w:rsidR="007D4DE8" w:rsidRDefault="008B6700">
      <w:pPr>
        <w:numPr>
          <w:ilvl w:val="0"/>
          <w:numId w:val="3"/>
        </w:numPr>
        <w:spacing w:after="42" w:line="240" w:lineRule="auto"/>
        <w:ind w:right="108" w:hanging="365"/>
      </w:pPr>
      <w:r>
        <w:t xml:space="preserve">The staff member must not follow a child beyond the school grounds (corner of </w:t>
      </w:r>
      <w:proofErr w:type="spellStart"/>
      <w:r>
        <w:t>Akenside</w:t>
      </w:r>
      <w:proofErr w:type="spellEnd"/>
      <w:r>
        <w:t xml:space="preserve"> Road and Daleham Gardens and the top of </w:t>
      </w:r>
      <w:proofErr w:type="spellStart"/>
      <w:r>
        <w:t>Akenside</w:t>
      </w:r>
      <w:proofErr w:type="spellEnd"/>
      <w:r>
        <w:t xml:space="preserve"> Road)</w:t>
      </w:r>
      <w:r w:rsidR="007D4DE8">
        <w:t xml:space="preserve"> unless the child is walking slowly and engaging in discussion that indicates they are planning to return to the site</w:t>
      </w:r>
      <w:r>
        <w:t>.</w:t>
      </w:r>
    </w:p>
    <w:p w14:paraId="4E1F70FD" w14:textId="438E715B" w:rsidR="009C008A" w:rsidRDefault="007D4DE8">
      <w:pPr>
        <w:numPr>
          <w:ilvl w:val="0"/>
          <w:numId w:val="3"/>
        </w:numPr>
        <w:spacing w:after="42" w:line="240" w:lineRule="auto"/>
        <w:ind w:right="108" w:hanging="365"/>
      </w:pPr>
      <w:r>
        <w:t>Staff members must not run after a child who is running as this could cause them to increase speed or take unnecessary risks.</w:t>
      </w:r>
    </w:p>
    <w:p w14:paraId="273E6883" w14:textId="77777777" w:rsidR="009C008A" w:rsidRDefault="008B6700">
      <w:pPr>
        <w:numPr>
          <w:ilvl w:val="0"/>
          <w:numId w:val="3"/>
        </w:numPr>
        <w:spacing w:after="34"/>
        <w:ind w:right="108" w:hanging="365"/>
      </w:pPr>
      <w:r>
        <w:t xml:space="preserve">The staff member must ensure that the on-call member of staff is informed of the incident without delay. </w:t>
      </w:r>
    </w:p>
    <w:p w14:paraId="203C31D3" w14:textId="77777777" w:rsidR="009C008A" w:rsidRDefault="008B6700">
      <w:pPr>
        <w:numPr>
          <w:ilvl w:val="0"/>
          <w:numId w:val="3"/>
        </w:numPr>
        <w:ind w:right="108" w:hanging="365"/>
      </w:pPr>
      <w:r>
        <w:t xml:space="preserve">If a child has gone out of sight from staff outside of Gloucester House or cannot be found within Gloucester House premises the on-call member of staff must inform police and parent/carers without delay. </w:t>
      </w:r>
    </w:p>
    <w:p w14:paraId="5D5C7FEF" w14:textId="5C23A155" w:rsidR="009C008A" w:rsidRDefault="008B6700">
      <w:pPr>
        <w:spacing w:line="259" w:lineRule="auto"/>
        <w:ind w:left="0" w:firstLine="0"/>
      </w:pPr>
      <w:r>
        <w:t xml:space="preserve"> </w:t>
      </w:r>
    </w:p>
    <w:p w14:paraId="0551C2BA" w14:textId="77777777" w:rsidR="007D4DE8" w:rsidRDefault="007D4DE8">
      <w:pPr>
        <w:spacing w:line="259" w:lineRule="auto"/>
        <w:ind w:left="0" w:firstLine="0"/>
      </w:pPr>
    </w:p>
    <w:p w14:paraId="40A4DD19" w14:textId="77777777" w:rsidR="009C008A" w:rsidRDefault="008B6700">
      <w:pPr>
        <w:spacing w:after="21" w:line="259" w:lineRule="auto"/>
        <w:ind w:left="-5"/>
      </w:pPr>
      <w:r>
        <w:rPr>
          <w:b/>
        </w:rPr>
        <w:t xml:space="preserve">Other relevant policies: </w:t>
      </w:r>
    </w:p>
    <w:p w14:paraId="0FC2E9CB" w14:textId="77777777" w:rsidR="009C008A" w:rsidRDefault="008B6700">
      <w:pPr>
        <w:spacing w:line="259" w:lineRule="auto"/>
        <w:ind w:left="0" w:firstLine="0"/>
      </w:pPr>
      <w:r>
        <w:t xml:space="preserve"> </w:t>
      </w:r>
    </w:p>
    <w:tbl>
      <w:tblPr>
        <w:tblStyle w:val="TableGrid"/>
        <w:tblW w:w="8298" w:type="dxa"/>
        <w:tblInd w:w="5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158"/>
        <w:gridCol w:w="4140"/>
      </w:tblGrid>
      <w:tr w:rsidR="009C008A" w14:paraId="054CEA81" w14:textId="77777777">
        <w:trPr>
          <w:trHeight w:val="302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BED4" w14:textId="77777777" w:rsidR="009C008A" w:rsidRDefault="008B6700">
            <w:pPr>
              <w:spacing w:line="259" w:lineRule="auto"/>
              <w:ind w:left="0" w:firstLine="0"/>
            </w:pPr>
            <w:r>
              <w:t xml:space="preserve">Health and Safety (Trust Policy)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99B0" w14:textId="524C3510" w:rsidR="009C008A" w:rsidRDefault="008B6700">
            <w:pPr>
              <w:spacing w:line="259" w:lineRule="auto"/>
              <w:ind w:left="0" w:firstLine="0"/>
            </w:pPr>
            <w:r>
              <w:t>Fire Safety P</w:t>
            </w:r>
            <w:r w:rsidR="00F43223">
              <w:t>rocedures</w:t>
            </w:r>
          </w:p>
        </w:tc>
      </w:tr>
      <w:tr w:rsidR="009C008A" w14:paraId="66D01266" w14:textId="77777777">
        <w:trPr>
          <w:trHeight w:val="298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0A30" w14:textId="5726F2E3" w:rsidR="009C008A" w:rsidRDefault="008B6700">
            <w:pPr>
              <w:spacing w:line="259" w:lineRule="auto"/>
              <w:ind w:left="0" w:firstLine="0"/>
            </w:pPr>
            <w:r>
              <w:t xml:space="preserve">COSHH </w:t>
            </w:r>
            <w:r w:rsidR="00585621">
              <w:t>(Trust)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BD89" w14:textId="5408ED37" w:rsidR="009C008A" w:rsidRDefault="008B6700">
            <w:pPr>
              <w:spacing w:line="259" w:lineRule="auto"/>
              <w:ind w:left="0" w:firstLine="0"/>
            </w:pPr>
            <w:r>
              <w:t>Infection Control P</w:t>
            </w:r>
            <w:r w:rsidR="00F43223">
              <w:t>rocedures</w:t>
            </w:r>
          </w:p>
        </w:tc>
      </w:tr>
      <w:tr w:rsidR="009C008A" w14:paraId="461BE5BC" w14:textId="77777777">
        <w:trPr>
          <w:trHeight w:val="302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C6E5" w14:textId="290D3F83" w:rsidR="009C008A" w:rsidRDefault="003E73C5">
            <w:pPr>
              <w:spacing w:line="259" w:lineRule="auto"/>
              <w:ind w:left="0" w:firstLine="0"/>
            </w:pPr>
            <w:r>
              <w:t xml:space="preserve">Physical Care, Containment &amp; Restraint Reduction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11FC" w14:textId="77777777" w:rsidR="009C008A" w:rsidRDefault="008B6700">
            <w:pPr>
              <w:spacing w:line="259" w:lineRule="auto"/>
              <w:ind w:left="0" w:firstLine="0"/>
            </w:pPr>
            <w:r>
              <w:t xml:space="preserve">Off Site Visits (OSV) </w:t>
            </w:r>
          </w:p>
        </w:tc>
      </w:tr>
      <w:tr w:rsidR="009C008A" w14:paraId="123CE18C" w14:textId="77777777">
        <w:trPr>
          <w:trHeight w:val="303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3A6F" w14:textId="39105ADA" w:rsidR="009C008A" w:rsidRDefault="008B6700">
            <w:pPr>
              <w:spacing w:line="259" w:lineRule="auto"/>
              <w:ind w:left="0" w:firstLine="0"/>
            </w:pPr>
            <w:r>
              <w:t>Safeguarding Polic</w:t>
            </w:r>
            <w:r w:rsidR="00F43223">
              <w:t>ies &amp; procedures</w:t>
            </w:r>
            <w:r>
              <w:t xml:space="preserve">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85B3" w14:textId="77777777" w:rsidR="009C008A" w:rsidRDefault="008B6700">
            <w:pPr>
              <w:spacing w:line="259" w:lineRule="auto"/>
              <w:ind w:left="0" w:firstLine="0"/>
            </w:pPr>
            <w:r>
              <w:t xml:space="preserve"> </w:t>
            </w:r>
          </w:p>
        </w:tc>
      </w:tr>
    </w:tbl>
    <w:p w14:paraId="44A57035" w14:textId="0ADDED2D" w:rsidR="009C008A" w:rsidRDefault="008B6700">
      <w:pPr>
        <w:spacing w:line="259" w:lineRule="auto"/>
        <w:ind w:left="0" w:firstLine="0"/>
      </w:pPr>
      <w:r>
        <w:t xml:space="preserve"> </w:t>
      </w:r>
    </w:p>
    <w:sectPr w:rsidR="009C008A" w:rsidSect="00E16B44">
      <w:footerReference w:type="first" r:id="rId8"/>
      <w:pgSz w:w="11904" w:h="16838"/>
      <w:pgMar w:top="1440" w:right="1665" w:bottom="819" w:left="18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74C5" w14:textId="77777777" w:rsidR="00E16B44" w:rsidRDefault="00E16B44" w:rsidP="00E16B44">
      <w:pPr>
        <w:spacing w:line="240" w:lineRule="auto"/>
      </w:pPr>
      <w:r>
        <w:separator/>
      </w:r>
    </w:p>
  </w:endnote>
  <w:endnote w:type="continuationSeparator" w:id="0">
    <w:p w14:paraId="509A65BD" w14:textId="77777777" w:rsidR="00E16B44" w:rsidRDefault="00E16B44" w:rsidP="00E16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99CD3" w14:textId="77777777" w:rsidR="00E16B44" w:rsidRDefault="00E16B44" w:rsidP="00E16B44">
    <w:pPr>
      <w:tabs>
        <w:tab w:val="left" w:pos="9026"/>
      </w:tabs>
      <w:ind w:left="0"/>
      <w:rPr>
        <w:rFonts w:cs="Arial"/>
        <w:color w:val="767171" w:themeColor="background2" w:themeShade="80"/>
        <w:sz w:val="18"/>
        <w:szCs w:val="18"/>
      </w:rPr>
    </w:pPr>
    <w:bookmarkStart w:id="1" w:name="_Hlk171352732"/>
    <w:bookmarkStart w:id="2" w:name="_Hlk171352733"/>
    <w:bookmarkStart w:id="3" w:name="_Hlk171352736"/>
    <w:bookmarkStart w:id="4" w:name="_Hlk171352737"/>
    <w:bookmarkStart w:id="5" w:name="_Hlk171352738"/>
    <w:bookmarkStart w:id="6" w:name="_Hlk171352739"/>
    <w:bookmarkStart w:id="7" w:name="_Hlk171354299"/>
    <w:bookmarkStart w:id="8" w:name="_Hlk171354300"/>
    <w:r>
      <w:rPr>
        <w:noProof/>
      </w:rPr>
      <w:drawing>
        <wp:anchor distT="0" distB="0" distL="114300" distR="114300" simplePos="0" relativeHeight="251659264" behindDoc="1" locked="0" layoutInCell="1" allowOverlap="1" wp14:anchorId="5EA27CF9" wp14:editId="43B5CF0B">
          <wp:simplePos x="0" y="0"/>
          <wp:positionH relativeFrom="column">
            <wp:posOffset>4031615</wp:posOffset>
          </wp:positionH>
          <wp:positionV relativeFrom="paragraph">
            <wp:posOffset>93345</wp:posOffset>
          </wp:positionV>
          <wp:extent cx="1997710" cy="537210"/>
          <wp:effectExtent l="0" t="0" r="2540" b="0"/>
          <wp:wrapTight wrapText="bothSides">
            <wp:wrapPolygon edited="0">
              <wp:start x="15036" y="0"/>
              <wp:lineTo x="0" y="10723"/>
              <wp:lineTo x="0" y="16851"/>
              <wp:lineTo x="9475" y="20681"/>
              <wp:lineTo x="21421" y="20681"/>
              <wp:lineTo x="21421" y="0"/>
              <wp:lineTo x="15036" y="0"/>
            </wp:wrapPolygon>
          </wp:wrapTight>
          <wp:docPr id="1775673858" name="Picture 177567385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710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767171" w:themeColor="background2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7DAA3" wp14:editId="6EAB76A7">
              <wp:simplePos x="0" y="0"/>
              <wp:positionH relativeFrom="margin">
                <wp:align>center</wp:align>
              </wp:positionH>
              <wp:positionV relativeFrom="paragraph">
                <wp:posOffset>-13661</wp:posOffset>
              </wp:positionV>
              <wp:extent cx="666750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4854529" name="Straight Connector 948545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3AAED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2C2AFB" id="Straight Connector 94854529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1pt" to="52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+iwAEAAN4DAAAOAAAAZHJzL2Uyb0RvYy54bWysU8GO0zAQvSPxD5bvNGlRC0RNV9WW5YJg&#10;tcAHuM64sWR7LNs06d8zdtt0BUgIxMWxx/PezHuerO9Ga9gRQtToWj6f1ZyBk9hpd2j5t68Pr95y&#10;FpNwnTDooOUniPxu8/LFevANLLBH00FgROJiM/iW9yn5pqqi7MGKOEMPji4VBisSHcOh6oIYiN2a&#10;alHXq2rA0PmAEmKk6O58yTeFXymQ6bNSERIzLafeUllDWfd5rTZr0RyC8L2WlzbEP3RhhXZUdKLa&#10;iSTY96B/obJaBoyo0kyirVApLaFoIDXz+ic1X3rhoWghc6KfbIr/j1Z+Ot67x0A2DD420T+GrGJU&#10;weYv9cfGYtZpMgvGxCQFV6vVm2VNnsrrXXUD+hDTB0DL8qblRrusQzTi+DEmKkap15QcNo4NLX+3&#10;XCxLVkSjuwdtTL6L4bC/N4EdBT3h6+32/W6bX40YnqXRyTgK3kSUXToZOPM/gWK6o7bn5wp5vmCi&#10;FVKCS/MLr3GUnWGKWpiA9Z+Bl/wMhTJ7fwOeEKUyujSBrXYYflc9jdeW1Tn/6sBZd7Zgj92pPG+x&#10;hoaoOHcZ+Dylz88FfvstNz8AAAD//wMAUEsDBBQABgAIAAAAIQDVBmof2wAAAAcBAAAPAAAAZHJz&#10;L2Rvd25yZXYueG1sTI/BTsMwEETvSP0Haytxa20igaIQp0JIlSq1HCh8gBsvScBep7HTBr6erTjQ&#10;48ysZt6Wq8k7ccIhdoE03C0VCKQ62I4aDe9v60UOIiZD1rhAqOEbI6yq2U1pChvO9IqnfWoEl1As&#10;jIY2pb6QMtYtehOXoUfi7CMM3iSWQyPtYM5c7p3MlHqQ3nTEC63p8bnF+ms/eg1bmX/ujj9bF9fj&#10;yyaMWTx6m2t9O5+eHkEknNL/MVzwGR0qZjqEkWwUTgM/kjQssgzEJVX3ip3DnyOrUl7zV78AAAD/&#10;/wMAUEsBAi0AFAAGAAgAAAAhALaDOJL+AAAA4QEAABMAAAAAAAAAAAAAAAAAAAAAAFtDb250ZW50&#10;X1R5cGVzXS54bWxQSwECLQAUAAYACAAAACEAOP0h/9YAAACUAQAACwAAAAAAAAAAAAAAAAAvAQAA&#10;X3JlbHMvLnJlbHNQSwECLQAUAAYACAAAACEAbCTvosABAADeAwAADgAAAAAAAAAAAAAAAAAuAgAA&#10;ZHJzL2Uyb0RvYy54bWxQSwECLQAUAAYACAAAACEA1QZqH9sAAAAHAQAADwAAAAAAAAAAAAAAAAAa&#10;BAAAZHJzL2Rvd25yZXYueG1sUEsFBgAAAAAEAAQA8wAAACIFAAAAAA==&#10;" strokecolor="#3aaeda">
              <v:stroke joinstyle="miter"/>
              <w10:wrap type="through" anchorx="margin"/>
            </v:line>
          </w:pict>
        </mc:Fallback>
      </mc:AlternateContent>
    </w:r>
  </w:p>
  <w:p w14:paraId="52D236B3" w14:textId="77777777" w:rsidR="00E16B44" w:rsidRPr="005D24A1" w:rsidRDefault="00E16B44" w:rsidP="00E16B44">
    <w:pPr>
      <w:pStyle w:val="Header"/>
      <w:tabs>
        <w:tab w:val="left" w:pos="426"/>
        <w:tab w:val="right" w:pos="10160"/>
      </w:tabs>
      <w:spacing w:before="120" w:line="360" w:lineRule="auto"/>
      <w:ind w:left="-993"/>
      <w:contextualSpacing/>
      <w:rPr>
        <w:rFonts w:ascii="Segoe UI" w:hAnsi="Segoe UI" w:cs="Segoe UI"/>
        <w:color w:val="404040" w:themeColor="text1" w:themeTint="BF"/>
        <w:sz w:val="18"/>
        <w:szCs w:val="18"/>
      </w:rPr>
    </w:pPr>
    <w:r w:rsidRPr="008A637A">
      <w:rPr>
        <w:rFonts w:ascii="Segoe UI" w:hAnsi="Segoe UI" w:cs="Segoe UI"/>
        <w:b/>
        <w:bCs/>
        <w:color w:val="646BA1"/>
        <w:sz w:val="18"/>
        <w:szCs w:val="18"/>
      </w:rPr>
      <w:t>@:</w:t>
    </w:r>
    <w:r w:rsidRPr="008A637A">
      <w:rPr>
        <w:rFonts w:ascii="Segoe UI" w:hAnsi="Segoe UI" w:cs="Segoe UI"/>
        <w:color w:val="646BA1"/>
        <w:sz w:val="18"/>
        <w:szCs w:val="18"/>
      </w:rPr>
      <w:t xml:space="preserve"> </w:t>
    </w:r>
    <w:r w:rsidRPr="00B14150">
      <w:rPr>
        <w:rFonts w:ascii="Segoe UI" w:hAnsi="Segoe UI" w:cs="Segoe UI"/>
        <w:color w:val="767171" w:themeColor="background2" w:themeShade="80"/>
        <w:sz w:val="18"/>
        <w:szCs w:val="18"/>
      </w:rPr>
      <w:t xml:space="preserve">gloucesterhouseadmin@tavi-port.nhs.uk        </w:t>
    </w:r>
    <w:r w:rsidRPr="008A637A">
      <w:rPr>
        <w:rFonts w:ascii="Segoe UI" w:hAnsi="Segoe UI" w:cs="Segoe UI"/>
        <w:b/>
        <w:bCs/>
        <w:color w:val="646BA1"/>
        <w:sz w:val="18"/>
        <w:szCs w:val="18"/>
      </w:rPr>
      <w:t xml:space="preserve">T: </w:t>
    </w:r>
    <w:r w:rsidRPr="00B14150">
      <w:rPr>
        <w:rFonts w:ascii="Segoe UI" w:hAnsi="Segoe UI" w:cs="Segoe UI"/>
        <w:color w:val="767171" w:themeColor="background2" w:themeShade="80"/>
        <w:sz w:val="18"/>
        <w:szCs w:val="18"/>
      </w:rPr>
      <w:t>020 7794 3353</w:t>
    </w:r>
  </w:p>
  <w:p w14:paraId="5F517917" w14:textId="78AB3A97" w:rsidR="00E16B44" w:rsidRPr="00E16B44" w:rsidRDefault="00E16B44" w:rsidP="00E16B44">
    <w:pPr>
      <w:pStyle w:val="Header"/>
      <w:tabs>
        <w:tab w:val="left" w:pos="426"/>
        <w:tab w:val="center" w:pos="5080"/>
        <w:tab w:val="right" w:pos="10160"/>
      </w:tabs>
      <w:spacing w:before="120" w:line="360" w:lineRule="auto"/>
      <w:ind w:left="-993"/>
      <w:contextualSpacing/>
      <w:rPr>
        <w:rFonts w:ascii="Segoe UI" w:hAnsi="Segoe UI" w:cs="Segoe UI"/>
        <w:color w:val="767171" w:themeColor="background2" w:themeShade="80"/>
        <w:sz w:val="18"/>
        <w:szCs w:val="18"/>
      </w:rPr>
    </w:pPr>
    <w:r w:rsidRPr="00B14150">
      <w:rPr>
        <w:rFonts w:ascii="Segoe UI" w:hAnsi="Segoe UI" w:cs="Segoe UI"/>
        <w:color w:val="767171" w:themeColor="background2" w:themeShade="80"/>
        <w:sz w:val="18"/>
        <w:szCs w:val="18"/>
      </w:rPr>
      <w:t xml:space="preserve">Gloucester House </w:t>
    </w:r>
    <w:r w:rsidRPr="008A637A">
      <w:rPr>
        <w:rFonts w:ascii="Segoe UI" w:hAnsi="Segoe UI" w:cs="Segoe UI"/>
        <w:color w:val="2D8E9B"/>
        <w:sz w:val="18"/>
        <w:szCs w:val="18"/>
      </w:rPr>
      <w:t>|</w:t>
    </w:r>
    <w:r>
      <w:rPr>
        <w:rFonts w:ascii="Segoe UI" w:hAnsi="Segoe UI" w:cs="Segoe UI"/>
        <w:color w:val="404040" w:themeColor="text1" w:themeTint="BF"/>
        <w:sz w:val="18"/>
        <w:szCs w:val="18"/>
      </w:rPr>
      <w:t xml:space="preserve"> </w:t>
    </w:r>
    <w:r w:rsidRPr="00B14150">
      <w:rPr>
        <w:rFonts w:ascii="Segoe UI" w:hAnsi="Segoe UI" w:cs="Segoe UI"/>
        <w:color w:val="767171" w:themeColor="background2" w:themeShade="80"/>
        <w:sz w:val="18"/>
        <w:szCs w:val="18"/>
      </w:rPr>
      <w:t xml:space="preserve">33 Daleham Gardens </w:t>
    </w:r>
    <w:r w:rsidRPr="008A637A">
      <w:rPr>
        <w:rFonts w:ascii="Segoe UI" w:hAnsi="Segoe UI" w:cs="Segoe UI"/>
        <w:color w:val="646BA1"/>
        <w:sz w:val="18"/>
        <w:szCs w:val="18"/>
      </w:rPr>
      <w:t>|</w:t>
    </w:r>
    <w:r>
      <w:rPr>
        <w:rFonts w:ascii="Segoe UI" w:hAnsi="Segoe UI" w:cs="Segoe UI"/>
        <w:color w:val="404040" w:themeColor="text1" w:themeTint="BF"/>
        <w:sz w:val="18"/>
        <w:szCs w:val="18"/>
      </w:rPr>
      <w:t xml:space="preserve"> </w:t>
    </w:r>
    <w:r w:rsidRPr="00B14150">
      <w:rPr>
        <w:rFonts w:ascii="Segoe UI" w:hAnsi="Segoe UI" w:cs="Segoe UI"/>
        <w:color w:val="767171" w:themeColor="background2" w:themeShade="80"/>
        <w:sz w:val="18"/>
        <w:szCs w:val="18"/>
      </w:rPr>
      <w:t xml:space="preserve">London </w:t>
    </w:r>
    <w:r w:rsidRPr="008A637A">
      <w:rPr>
        <w:rFonts w:ascii="Segoe UI" w:hAnsi="Segoe UI" w:cs="Segoe UI"/>
        <w:color w:val="646BA1"/>
        <w:sz w:val="18"/>
        <w:szCs w:val="18"/>
      </w:rPr>
      <w:t xml:space="preserve">| </w:t>
    </w:r>
    <w:r w:rsidRPr="00B14150">
      <w:rPr>
        <w:rFonts w:ascii="Segoe UI" w:hAnsi="Segoe UI" w:cs="Segoe UI"/>
        <w:color w:val="767171" w:themeColor="background2" w:themeShade="80"/>
        <w:sz w:val="18"/>
        <w:szCs w:val="18"/>
      </w:rPr>
      <w:t>NW3 5BU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62F1" w14:textId="77777777" w:rsidR="00E16B44" w:rsidRDefault="00E16B44" w:rsidP="00E16B44">
      <w:pPr>
        <w:spacing w:line="240" w:lineRule="auto"/>
      </w:pPr>
      <w:r>
        <w:separator/>
      </w:r>
    </w:p>
  </w:footnote>
  <w:footnote w:type="continuationSeparator" w:id="0">
    <w:p w14:paraId="2FF0F43B" w14:textId="77777777" w:rsidR="00E16B44" w:rsidRDefault="00E16B44" w:rsidP="00E16B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5496C"/>
    <w:multiLevelType w:val="hybridMultilevel"/>
    <w:tmpl w:val="D3CA717C"/>
    <w:lvl w:ilvl="0" w:tplc="1032B15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49E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2D1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EE92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6E662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09DE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C9C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4619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3216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0D561A"/>
    <w:multiLevelType w:val="hybridMultilevel"/>
    <w:tmpl w:val="DFC8BAEC"/>
    <w:lvl w:ilvl="0" w:tplc="813C715A">
      <w:start w:val="1"/>
      <w:numFmt w:val="decimal"/>
      <w:lvlText w:val="%1."/>
      <w:lvlJc w:val="left"/>
      <w:pPr>
        <w:ind w:left="2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FA1A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7A64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E0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9AC2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86C4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66A7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CDF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6ED0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EA3846"/>
    <w:multiLevelType w:val="hybridMultilevel"/>
    <w:tmpl w:val="39F60950"/>
    <w:lvl w:ilvl="0" w:tplc="810634EC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705F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A576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127A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4256E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60E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4C7B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E21B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34E3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7659705">
    <w:abstractNumId w:val="1"/>
  </w:num>
  <w:num w:numId="2" w16cid:durableId="1595357250">
    <w:abstractNumId w:val="0"/>
  </w:num>
  <w:num w:numId="3" w16cid:durableId="349264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8A"/>
    <w:rsid w:val="000343B8"/>
    <w:rsid w:val="000C4E6C"/>
    <w:rsid w:val="00117086"/>
    <w:rsid w:val="002B6DE3"/>
    <w:rsid w:val="002F0DD1"/>
    <w:rsid w:val="00333DEC"/>
    <w:rsid w:val="00382F8F"/>
    <w:rsid w:val="003A0D09"/>
    <w:rsid w:val="003B024B"/>
    <w:rsid w:val="003C0C91"/>
    <w:rsid w:val="003E73C5"/>
    <w:rsid w:val="003F6B2C"/>
    <w:rsid w:val="00425CC9"/>
    <w:rsid w:val="0044068D"/>
    <w:rsid w:val="00585621"/>
    <w:rsid w:val="005C4DF2"/>
    <w:rsid w:val="005C78A2"/>
    <w:rsid w:val="007941D4"/>
    <w:rsid w:val="007D4DE8"/>
    <w:rsid w:val="007F6E10"/>
    <w:rsid w:val="008B6700"/>
    <w:rsid w:val="008D5D7A"/>
    <w:rsid w:val="009C008A"/>
    <w:rsid w:val="00A65AED"/>
    <w:rsid w:val="00AC3405"/>
    <w:rsid w:val="00B553EC"/>
    <w:rsid w:val="00BA7587"/>
    <w:rsid w:val="00C12D94"/>
    <w:rsid w:val="00C17DD9"/>
    <w:rsid w:val="00C9744B"/>
    <w:rsid w:val="00D64B72"/>
    <w:rsid w:val="00D65795"/>
    <w:rsid w:val="00E145BE"/>
    <w:rsid w:val="00E16B44"/>
    <w:rsid w:val="00F43223"/>
    <w:rsid w:val="00FC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FC1E6"/>
  <w15:docId w15:val="{9BC2583B-F360-40F4-9F28-7EF6EE11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E16B44"/>
    <w:pPr>
      <w:tabs>
        <w:tab w:val="center" w:pos="4320"/>
        <w:tab w:val="right" w:pos="8640"/>
      </w:tabs>
      <w:spacing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16B4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16B4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B44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14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Safety Policy</vt:lpstr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Policy</dc:title>
  <dc:subject/>
  <dc:creator>Ann Greenwood</dc:creator>
  <cp:keywords/>
  <cp:lastModifiedBy>Roberto Foddai</cp:lastModifiedBy>
  <cp:revision>18</cp:revision>
  <dcterms:created xsi:type="dcterms:W3CDTF">2025-06-30T17:24:00Z</dcterms:created>
  <dcterms:modified xsi:type="dcterms:W3CDTF">2025-11-20T10:44:00Z</dcterms:modified>
</cp:coreProperties>
</file>